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94" w:rsidRPr="00F21B61" w:rsidRDefault="00A026EF">
      <w:pPr>
        <w:rPr>
          <w:rFonts w:cs="Times New Roman"/>
          <w:b/>
          <w:szCs w:val="24"/>
          <w:shd w:val="clear" w:color="auto" w:fill="FFFFFF"/>
          <w:lang w:val="fr-FR"/>
        </w:rPr>
      </w:pPr>
      <w:r w:rsidRPr="00F21B61">
        <w:rPr>
          <w:rStyle w:val="Vurgu"/>
          <w:rFonts w:cs="Times New Roman"/>
          <w:b/>
          <w:bCs/>
          <w:i w:val="0"/>
          <w:iCs w:val="0"/>
          <w:szCs w:val="24"/>
          <w:shd w:val="clear" w:color="auto" w:fill="FFFFFF"/>
          <w:lang w:val="fr-FR"/>
        </w:rPr>
        <w:t>FACULTÉ DES SCIENCES ÉCONOMIQUES</w:t>
      </w:r>
      <w:r w:rsidRPr="00F21B61">
        <w:rPr>
          <w:rFonts w:cs="Times New Roman"/>
          <w:b/>
          <w:szCs w:val="24"/>
          <w:shd w:val="clear" w:color="auto" w:fill="FFFFFF"/>
          <w:lang w:val="fr-FR"/>
        </w:rPr>
        <w:t> ET ADMINISTRATIVES</w:t>
      </w:r>
    </w:p>
    <w:p w:rsidR="00A026EF" w:rsidRPr="00A5515E" w:rsidRDefault="00A026EF">
      <w:pPr>
        <w:rPr>
          <w:b/>
          <w:lang w:val="fr-FR"/>
        </w:rPr>
      </w:pPr>
      <w:r w:rsidRPr="00A5515E">
        <w:rPr>
          <w:b/>
          <w:lang w:val="fr-FR"/>
        </w:rPr>
        <w:t>NOTRE HISTOIRE</w:t>
      </w:r>
    </w:p>
    <w:p w:rsidR="00A026EF" w:rsidRPr="00F21B61" w:rsidRDefault="00A026EF" w:rsidP="00A026EF">
      <w:pPr>
        <w:rPr>
          <w:lang w:val="fr-FR"/>
        </w:rPr>
      </w:pPr>
      <w:r w:rsidRPr="00F21B61">
        <w:rPr>
          <w:lang w:val="fr-FR"/>
        </w:rPr>
        <w:t xml:space="preserve">Faculté des sciences économiques et administratives; C'est une faculté basée sur l'Ecole Supérieure d'Economie et de Commerce, fondée en 1944. Le nom de cette école a été changé en "Académie des sciences économiques et commerciales" en 1959. L'académie associée a été affiliée à l'Université </w:t>
      </w:r>
      <w:proofErr w:type="spellStart"/>
      <w:r w:rsidRPr="00F21B61">
        <w:rPr>
          <w:lang w:val="fr-FR"/>
        </w:rPr>
        <w:t>Dokuz</w:t>
      </w:r>
      <w:proofErr w:type="spellEnd"/>
      <w:r w:rsidRPr="00F21B61">
        <w:rPr>
          <w:lang w:val="fr-FR"/>
        </w:rPr>
        <w:t xml:space="preserve"> </w:t>
      </w:r>
      <w:proofErr w:type="spellStart"/>
      <w:r w:rsidRPr="00F21B61">
        <w:rPr>
          <w:lang w:val="fr-FR"/>
        </w:rPr>
        <w:t>Eylül</w:t>
      </w:r>
      <w:proofErr w:type="spellEnd"/>
      <w:r w:rsidRPr="00F21B61">
        <w:rPr>
          <w:lang w:val="fr-FR"/>
        </w:rPr>
        <w:t xml:space="preserve"> sous le nom de "Faculté des sciences économiques et administratives" en 1982. La faculté se compose de sept départements et poursuit ses activités avec l'enseignement formel et secondaire dans les départements d'économie du travail et des relations industrielles, d'économétrie, d'économie, d'administration des affaires, d'administration publique, de finances et d'enseignement formel au département des systèmes d'information de gestion.</w:t>
      </w:r>
    </w:p>
    <w:p w:rsidR="00C75F2E" w:rsidRPr="00F21B61" w:rsidRDefault="00C75F2E" w:rsidP="00A026EF">
      <w:pPr>
        <w:rPr>
          <w:b/>
          <w:lang w:val="fr-FR"/>
        </w:rPr>
      </w:pPr>
      <w:r w:rsidRPr="00F21B61">
        <w:rPr>
          <w:b/>
          <w:lang w:val="fr-FR"/>
        </w:rPr>
        <w:t>NOTRE BUT</w:t>
      </w:r>
    </w:p>
    <w:p w:rsidR="00C75F2E" w:rsidRPr="00F21B61" w:rsidRDefault="00C75F2E" w:rsidP="00A026EF">
      <w:pPr>
        <w:rPr>
          <w:lang w:val="fr-FR"/>
        </w:rPr>
      </w:pPr>
      <w:r w:rsidRPr="00F21B61">
        <w:rPr>
          <w:lang w:val="fr-FR"/>
        </w:rPr>
        <w:t>La Faculté des sciences économiques et administratives travaillera dans les secteurs public et privé, aura une personnalité entrepreneuriale et innovante, pourra évaluer les conditions de la journée, aura des capacités avancées de réflexion analytique, pourra transférer des connaissances théoriques à la pratique, aura une communication et des relations sociales solides, sont curieux et chercheur, la raison, la science et l'éthique universelle vise à former des individus qui produisent des connaissances dans toutes les valeurs et à être une faculté de premier plan au niveau national et international.</w:t>
      </w:r>
    </w:p>
    <w:p w:rsidR="00C75F2E" w:rsidRPr="00F21B61" w:rsidRDefault="00C75F2E" w:rsidP="00A026EF">
      <w:pPr>
        <w:rPr>
          <w:b/>
          <w:lang w:val="fr-FR"/>
        </w:rPr>
      </w:pPr>
      <w:r w:rsidRPr="00F21B61">
        <w:rPr>
          <w:b/>
          <w:lang w:val="fr-FR"/>
        </w:rPr>
        <w:t>CARACTÉRISTIQUES TECHNIQUES EN VEDETTE :</w:t>
      </w:r>
    </w:p>
    <w:p w:rsidR="00C75F2E" w:rsidRPr="00F21B61" w:rsidRDefault="00C75F2E" w:rsidP="00A026EF">
      <w:pPr>
        <w:rPr>
          <w:lang w:val="fr-FR"/>
        </w:rPr>
      </w:pPr>
      <w:r w:rsidRPr="00F21B61">
        <w:rPr>
          <w:lang w:val="fr-FR"/>
        </w:rPr>
        <w:t xml:space="preserve">Réseau de communication par câble à fibre optique à 80 Mbps, système de sondage électronique, pour des conférences pratiques et des recherches </w:t>
      </w:r>
      <w:r w:rsidR="0032215B" w:rsidRPr="00F21B61">
        <w:rPr>
          <w:lang w:val="fr-FR"/>
        </w:rPr>
        <w:t>l</w:t>
      </w:r>
      <w:r w:rsidRPr="00F21B61">
        <w:rPr>
          <w:lang w:val="fr-FR"/>
        </w:rPr>
        <w:t xml:space="preserve">aboratoires, 14 amphithéâtres, centre d'activités polyvalentes (ÇAM), salle d'étude accessible, jardin de lecture </w:t>
      </w:r>
      <w:proofErr w:type="spellStart"/>
      <w:r w:rsidRPr="00F21B61">
        <w:rPr>
          <w:lang w:val="fr-FR"/>
        </w:rPr>
        <w:t>Çamlık</w:t>
      </w:r>
      <w:proofErr w:type="spellEnd"/>
      <w:r w:rsidRPr="00F21B61">
        <w:rPr>
          <w:lang w:val="fr-FR"/>
        </w:rPr>
        <w:t>, salles de lecture, Laboratoires informatiques, salle de réunion, salle de conférence</w:t>
      </w:r>
    </w:p>
    <w:p w:rsidR="00C75F2E" w:rsidRPr="00F21B61" w:rsidRDefault="00C75F2E" w:rsidP="00A026EF">
      <w:pPr>
        <w:rPr>
          <w:b/>
          <w:lang w:val="fr-FR"/>
        </w:rPr>
      </w:pPr>
      <w:r w:rsidRPr="00F21B61">
        <w:rPr>
          <w:b/>
          <w:lang w:val="fr-FR"/>
        </w:rPr>
        <w:t>PROGRAMMES DE FORMATION EN VEDETTE :</w:t>
      </w:r>
    </w:p>
    <w:p w:rsidR="00C75F2E" w:rsidRPr="00F21B61" w:rsidRDefault="00C75F2E" w:rsidP="00A026EF">
      <w:pPr>
        <w:rPr>
          <w:lang w:val="fr-FR"/>
        </w:rPr>
      </w:pPr>
      <w:r w:rsidRPr="00F21B61">
        <w:rPr>
          <w:lang w:val="fr-FR"/>
        </w:rPr>
        <w:t xml:space="preserve">Programmes d'échange Erasmus +, </w:t>
      </w:r>
      <w:proofErr w:type="spellStart"/>
      <w:r w:rsidRPr="00F21B61">
        <w:rPr>
          <w:lang w:val="fr-FR"/>
        </w:rPr>
        <w:t>Mevlana</w:t>
      </w:r>
      <w:proofErr w:type="spellEnd"/>
      <w:r w:rsidRPr="00F21B61">
        <w:rPr>
          <w:lang w:val="fr-FR"/>
        </w:rPr>
        <w:t xml:space="preserve"> et </w:t>
      </w:r>
      <w:proofErr w:type="spellStart"/>
      <w:r w:rsidRPr="00F21B61">
        <w:rPr>
          <w:lang w:val="fr-FR"/>
        </w:rPr>
        <w:t>Farabi</w:t>
      </w:r>
      <w:proofErr w:type="spellEnd"/>
    </w:p>
    <w:p w:rsidR="0032215B" w:rsidRPr="00F21B61" w:rsidRDefault="0032215B" w:rsidP="00A026EF">
      <w:pPr>
        <w:rPr>
          <w:lang w:val="fr-FR"/>
        </w:rPr>
      </w:pPr>
      <w:r w:rsidRPr="00F21B61">
        <w:rPr>
          <w:lang w:val="fr-FR"/>
        </w:rPr>
        <w:t xml:space="preserve">Un enseignement 100% turc est dispensé dans tous les départements de la Faculté des sciences économiques et administratives. Il existe un programme préparatoire optionnel d'anglais d'un an. Il existe des cours Erasmus optionnels en anglais, allemand et français dans </w:t>
      </w:r>
      <w:r w:rsidRPr="00F21B61">
        <w:rPr>
          <w:lang w:val="fr-FR"/>
        </w:rPr>
        <w:lastRenderedPageBreak/>
        <w:t>tous les départements de la faculté. L'éducation se fait avec le système de passage de cours. Le système d'évaluation des notes relatives est appliqué.</w:t>
      </w:r>
    </w:p>
    <w:p w:rsidR="0032215B" w:rsidRPr="00F21B61" w:rsidRDefault="0032215B" w:rsidP="00A026EF">
      <w:pPr>
        <w:rPr>
          <w:b/>
          <w:lang w:val="fr-FR"/>
        </w:rPr>
      </w:pPr>
      <w:r w:rsidRPr="00F21B61">
        <w:rPr>
          <w:b/>
          <w:lang w:val="fr-FR"/>
        </w:rPr>
        <w:t>DÉPARTEMENT DES AFFAIRES</w:t>
      </w:r>
    </w:p>
    <w:p w:rsidR="0032215B" w:rsidRPr="00F21B61" w:rsidRDefault="0032215B" w:rsidP="00A026EF">
      <w:pPr>
        <w:rPr>
          <w:lang w:val="fr-FR"/>
        </w:rPr>
      </w:pPr>
      <w:r w:rsidRPr="00F21B61">
        <w:rPr>
          <w:lang w:val="fr-FR"/>
        </w:rPr>
        <w:t xml:space="preserve">L'objectif du </w:t>
      </w:r>
      <w:r w:rsidR="00005FA3">
        <w:rPr>
          <w:lang w:val="fr-FR"/>
        </w:rPr>
        <w:t>d</w:t>
      </w:r>
      <w:r w:rsidRPr="00F21B61">
        <w:rPr>
          <w:lang w:val="fr-FR"/>
        </w:rPr>
        <w:t>épartement d'administration des affaires est d'éduquer les étudiants en tant que diplômés capables d'adopter le travail d'équipe, d'offrir des solutions créatives, d'avoir une pensée globale et d'utiliser les mécanismes de planification, de coordination, de supervision et les ressources humaines de la manière la plus efficace pour accroître l'efficacité de l'entreprise, en fournissant à l'éducation commerciale les informations les plus récentes, est d'en faire des candidats idéaux pour des postes intellectuels, entrepreneuriaux, de direction et de gestion capables de rivaliser sur la scène internationale.</w:t>
      </w:r>
    </w:p>
    <w:p w:rsidR="0032215B" w:rsidRPr="00F21B61" w:rsidRDefault="0032215B" w:rsidP="00A026EF">
      <w:pPr>
        <w:rPr>
          <w:b/>
          <w:lang w:val="fr-FR"/>
        </w:rPr>
      </w:pPr>
      <w:r w:rsidRPr="00F21B61">
        <w:rPr>
          <w:b/>
          <w:lang w:val="fr-FR"/>
        </w:rPr>
        <w:t>Domaines de carrière</w:t>
      </w:r>
    </w:p>
    <w:p w:rsidR="0032215B" w:rsidRPr="00F21B61" w:rsidRDefault="0032215B" w:rsidP="00A026EF">
      <w:pPr>
        <w:rPr>
          <w:lang w:val="fr-FR"/>
        </w:rPr>
      </w:pPr>
      <w:r w:rsidRPr="00F21B61">
        <w:rPr>
          <w:lang w:val="fr-FR"/>
        </w:rPr>
        <w:t>Les diplômés du Département d'administration des affaires peuvent travailler en tant que cadres intermédiaires et supérieurs dans les secteurs public et privé, ainsi que dans de nombreux domaines de la vie commerciale et industrielle tels que conseillers financiers, inspecteurs, auditeurs, directeurs des ventes.</w:t>
      </w:r>
    </w:p>
    <w:p w:rsidR="0032215B" w:rsidRPr="00F21B61" w:rsidRDefault="0032215B" w:rsidP="00A026EF">
      <w:pPr>
        <w:rPr>
          <w:b/>
          <w:lang w:val="fr-FR"/>
        </w:rPr>
      </w:pPr>
      <w:r w:rsidRPr="00F21B61">
        <w:rPr>
          <w:b/>
          <w:lang w:val="fr-FR"/>
        </w:rPr>
        <w:t>DEPARTEMENT D'ECONOMIE</w:t>
      </w:r>
    </w:p>
    <w:p w:rsidR="0032215B" w:rsidRPr="00F21B61" w:rsidRDefault="0032215B" w:rsidP="00A026EF">
      <w:pPr>
        <w:rPr>
          <w:lang w:val="fr-FR"/>
        </w:rPr>
      </w:pPr>
      <w:r w:rsidRPr="00F21B61">
        <w:rPr>
          <w:lang w:val="fr-FR"/>
        </w:rPr>
        <w:t>L'objectif du Département d'économie est de fournir à nos étudiants un haut niveau de formation en économie, de leur permettre de mener des recherches en utilisant les techniques et méthodes les plus avancées, à la fois théoriques et pratiques, et de les doter de compétences pour tirer des conclusions et de</w:t>
      </w:r>
      <w:r w:rsidR="00005FA3">
        <w:rPr>
          <w:lang w:val="fr-FR"/>
        </w:rPr>
        <w:t xml:space="preserve">s politiques </w:t>
      </w:r>
      <w:r w:rsidR="00005FA3" w:rsidRPr="00F21B61">
        <w:rPr>
          <w:lang w:val="fr-FR"/>
        </w:rPr>
        <w:t>développements</w:t>
      </w:r>
      <w:r w:rsidRPr="00F21B61">
        <w:rPr>
          <w:lang w:val="fr-FR"/>
        </w:rPr>
        <w:t xml:space="preserve"> avec des techniques d'analyse</w:t>
      </w:r>
    </w:p>
    <w:p w:rsidR="0032215B" w:rsidRPr="00F21B61" w:rsidRDefault="0032215B" w:rsidP="00A026EF">
      <w:pPr>
        <w:rPr>
          <w:b/>
          <w:lang w:val="fr-FR"/>
        </w:rPr>
      </w:pPr>
      <w:r w:rsidRPr="00F21B61">
        <w:rPr>
          <w:b/>
          <w:lang w:val="fr-FR"/>
        </w:rPr>
        <w:t>Domaines de carrière</w:t>
      </w:r>
    </w:p>
    <w:p w:rsidR="0032215B" w:rsidRPr="00F21B61" w:rsidRDefault="0032215B" w:rsidP="00A026EF">
      <w:pPr>
        <w:rPr>
          <w:lang w:val="fr-FR"/>
        </w:rPr>
      </w:pPr>
      <w:r w:rsidRPr="00F21B61">
        <w:rPr>
          <w:lang w:val="fr-FR"/>
        </w:rPr>
        <w:t>Les diplômés du département d'économie peuvent trouver des emplois dans les secteurs public et privé et postuler aux postes d'inspecteur, d'auditeur et d'expert adjoint ouverts par les ministères. Le secteur public et le secteur privé, les entreprises nationales et internationales sont parmi les autres institutions où les diplômés en économie sont employés.</w:t>
      </w:r>
    </w:p>
    <w:p w:rsidR="0032215B" w:rsidRPr="00F21B61" w:rsidRDefault="004E3872" w:rsidP="00A026EF">
      <w:pPr>
        <w:rPr>
          <w:b/>
          <w:lang w:val="fr-FR"/>
        </w:rPr>
      </w:pPr>
      <w:r>
        <w:rPr>
          <w:b/>
          <w:lang w:val="fr-FR"/>
        </w:rPr>
        <w:t xml:space="preserve">Le </w:t>
      </w:r>
      <w:r w:rsidRPr="004E3872">
        <w:rPr>
          <w:b/>
          <w:lang w:val="fr-FR"/>
        </w:rPr>
        <w:t>Département</w:t>
      </w:r>
      <w:r w:rsidRPr="00F21B61">
        <w:rPr>
          <w:lang w:val="fr-FR"/>
        </w:rPr>
        <w:t xml:space="preserve"> </w:t>
      </w:r>
      <w:r>
        <w:rPr>
          <w:b/>
          <w:lang w:val="fr-FR"/>
        </w:rPr>
        <w:t xml:space="preserve">De </w:t>
      </w:r>
      <w:r w:rsidR="0032215B" w:rsidRPr="00F21B61">
        <w:rPr>
          <w:b/>
          <w:lang w:val="fr-FR"/>
        </w:rPr>
        <w:t>L'ADMINISTRATION PUBLIQUE</w:t>
      </w:r>
    </w:p>
    <w:p w:rsidR="0032215B" w:rsidRPr="00F21B61" w:rsidRDefault="0032215B" w:rsidP="00A026EF">
      <w:pPr>
        <w:rPr>
          <w:lang w:val="fr-FR"/>
        </w:rPr>
      </w:pPr>
      <w:r w:rsidRPr="00F21B61">
        <w:rPr>
          <w:lang w:val="fr-FR"/>
        </w:rPr>
        <w:t xml:space="preserve">L'objectif du Département de l'administration publique est de former des cadres supérieurs et intermédiaires pouvant travailler dans les secteurs public et privé. Les cours et les méthodes d'enseignement du programme, en plus de fournir des informations de base sur le domaine, </w:t>
      </w:r>
      <w:r w:rsidRPr="00F21B61">
        <w:rPr>
          <w:lang w:val="fr-FR"/>
        </w:rPr>
        <w:lastRenderedPageBreak/>
        <w:t>tentent de fournir aux étudiants une perspective analytique et une compréhension du questionnement.</w:t>
      </w:r>
    </w:p>
    <w:p w:rsidR="0032215B" w:rsidRPr="00F21B61" w:rsidRDefault="0032215B" w:rsidP="00A026EF">
      <w:pPr>
        <w:rPr>
          <w:b/>
          <w:lang w:val="fr-FR"/>
        </w:rPr>
      </w:pPr>
      <w:r w:rsidRPr="00F21B61">
        <w:rPr>
          <w:b/>
          <w:lang w:val="fr-FR"/>
        </w:rPr>
        <w:t>Domaines de carrière</w:t>
      </w:r>
    </w:p>
    <w:p w:rsidR="0032215B" w:rsidRPr="00F21B61" w:rsidRDefault="0032215B" w:rsidP="00A026EF">
      <w:pPr>
        <w:rPr>
          <w:lang w:val="fr-FR"/>
        </w:rPr>
      </w:pPr>
      <w:r w:rsidRPr="00F21B61">
        <w:rPr>
          <w:lang w:val="fr-FR"/>
        </w:rPr>
        <w:t>Les diplômés du Département de l'administration publique peuvent généralement travailler dans les unités centrales et provinciales du ministère de l'Intérieur, du ministère des Affaires étrangères et d'autres institutions publiques, des unités gouvernementales locales, des organisations internationales, des groupes de réflexion, des organisations non gouvernementales et dans divers domaines de le secteur privé. Autorité civile, magistrature administrative, expertise, inspection, conseil, etc. diverses professions sont couvertes par leurs domaines d'études.</w:t>
      </w:r>
    </w:p>
    <w:p w:rsidR="0032215B" w:rsidRPr="00F21B61" w:rsidRDefault="004E3872" w:rsidP="00A026EF">
      <w:pPr>
        <w:rPr>
          <w:b/>
          <w:lang w:val="fr-FR"/>
        </w:rPr>
      </w:pPr>
      <w:r>
        <w:rPr>
          <w:b/>
          <w:lang w:val="fr-FR"/>
        </w:rPr>
        <w:t xml:space="preserve">LE </w:t>
      </w:r>
      <w:r w:rsidRPr="00F21B61">
        <w:rPr>
          <w:b/>
          <w:lang w:val="fr-FR"/>
        </w:rPr>
        <w:t>Département</w:t>
      </w:r>
      <w:r>
        <w:rPr>
          <w:b/>
          <w:lang w:val="fr-FR"/>
        </w:rPr>
        <w:t xml:space="preserve"> de</w:t>
      </w:r>
      <w:r w:rsidRPr="00F21B61">
        <w:rPr>
          <w:b/>
          <w:lang w:val="fr-FR"/>
        </w:rPr>
        <w:t xml:space="preserve"> </w:t>
      </w:r>
      <w:r w:rsidR="0032215B" w:rsidRPr="00F21B61">
        <w:rPr>
          <w:b/>
          <w:lang w:val="fr-FR"/>
        </w:rPr>
        <w:t>FINANCIER</w:t>
      </w:r>
    </w:p>
    <w:p w:rsidR="0032215B" w:rsidRPr="00F21B61" w:rsidRDefault="0032215B" w:rsidP="00A026EF">
      <w:pPr>
        <w:rPr>
          <w:lang w:val="fr-FR"/>
        </w:rPr>
      </w:pPr>
      <w:r w:rsidRPr="00F21B61">
        <w:rPr>
          <w:lang w:val="fr-FR"/>
        </w:rPr>
        <w:t>Le ministère des Finances a pour objectif de répondre aux besoins en personnel financier et en spécialistes de l'État, de former ses étudiants aux règles de fonctionnement de l'économie nationale et des économies mondiales; former en fonction des besoins du secteur public. En outre, il répond également aux besoins des institutions financières opérant dans le secteur privé.</w:t>
      </w:r>
    </w:p>
    <w:p w:rsidR="0032215B" w:rsidRPr="00F21B61" w:rsidRDefault="0032215B" w:rsidP="0032215B">
      <w:pPr>
        <w:rPr>
          <w:b/>
          <w:lang w:val="fr-FR"/>
        </w:rPr>
      </w:pPr>
      <w:r w:rsidRPr="00F21B61">
        <w:rPr>
          <w:b/>
          <w:lang w:val="fr-FR"/>
        </w:rPr>
        <w:t>Domaines de carrière</w:t>
      </w:r>
    </w:p>
    <w:p w:rsidR="0032215B" w:rsidRPr="00F21B61" w:rsidRDefault="0032215B" w:rsidP="0032215B">
      <w:pPr>
        <w:rPr>
          <w:lang w:val="fr-FR"/>
        </w:rPr>
      </w:pPr>
      <w:r w:rsidRPr="00F21B61">
        <w:rPr>
          <w:lang w:val="fr-FR"/>
        </w:rPr>
        <w:t>Les diplômés du Département des finances peuvent trouver des emplois au ministère des Finances, au ministère des Douanes et du Commerce, à la Banque centrale de la République de Turquie, aux entreprises économiques d'État, à l'Organisation nationale de planification, aux administrations locales, aux municipalités, au tribunal de Comptes et autres institutions publiques, banques et diverses institutions du secteur privé. Ils peuvent également ouvrir des cabinets de conseil comptable et financier. Les diplômés travaillent souvent aussi comme auditeurs et gestionnaires dans des organisations des secteurs public et privé.</w:t>
      </w:r>
    </w:p>
    <w:p w:rsidR="0032215B" w:rsidRPr="00F21B61" w:rsidRDefault="00E205AA" w:rsidP="0032215B">
      <w:pPr>
        <w:rPr>
          <w:b/>
          <w:lang w:val="fr-FR"/>
        </w:rPr>
      </w:pPr>
      <w:r>
        <w:rPr>
          <w:b/>
          <w:lang w:val="fr-FR"/>
        </w:rPr>
        <w:t xml:space="preserve">Le </w:t>
      </w:r>
      <w:r w:rsidRPr="00F21B61">
        <w:rPr>
          <w:b/>
          <w:lang w:val="fr-FR"/>
        </w:rPr>
        <w:t xml:space="preserve">Département </w:t>
      </w:r>
      <w:r w:rsidR="0032215B" w:rsidRPr="00F21B61">
        <w:rPr>
          <w:b/>
          <w:lang w:val="fr-FR"/>
        </w:rPr>
        <w:t>DES ECONOMETRIES</w:t>
      </w:r>
    </w:p>
    <w:p w:rsidR="0032215B" w:rsidRPr="00F21B61" w:rsidRDefault="0032215B" w:rsidP="0032215B">
      <w:pPr>
        <w:rPr>
          <w:lang w:val="fr-FR"/>
        </w:rPr>
      </w:pPr>
      <w:r w:rsidRPr="00F21B61">
        <w:rPr>
          <w:lang w:val="fr-FR"/>
        </w:rPr>
        <w:t xml:space="preserve">L'objectif du Département d'économétrie est de former du personnel capable d'analyser et d'analyser les problèmes économiques existants à l'aide de techniques d'analyse quantitative. En outre, compte tenu de la similitude des départements au sein de son corps et de l'applicabilité des méthodes économétriques dans différents domaines des sciences et des sciences de la santé, en particulier en sciences sociales, le Département d'économétrie crée un </w:t>
      </w:r>
      <w:r w:rsidRPr="00F21B61">
        <w:rPr>
          <w:lang w:val="fr-FR"/>
        </w:rPr>
        <w:lastRenderedPageBreak/>
        <w:t>lien commun entre les départements de la faculté en termes de Faculté des sciences économiques et administratives, et aussi en raison des aspects communs des sciences économiques et administratives, elle forme un pont entre la Faculté des sciences et de nombreuses autres facultés.</w:t>
      </w:r>
    </w:p>
    <w:p w:rsidR="0032215B" w:rsidRPr="00F21B61" w:rsidRDefault="0032215B" w:rsidP="0032215B">
      <w:pPr>
        <w:rPr>
          <w:b/>
          <w:lang w:val="fr-FR"/>
        </w:rPr>
      </w:pPr>
      <w:r w:rsidRPr="00F21B61">
        <w:rPr>
          <w:b/>
          <w:lang w:val="fr-FR"/>
        </w:rPr>
        <w:t>Domaines de carrière</w:t>
      </w:r>
    </w:p>
    <w:p w:rsidR="0032215B" w:rsidRPr="00F21B61" w:rsidRDefault="00A5515E" w:rsidP="0032215B">
      <w:pPr>
        <w:rPr>
          <w:b/>
          <w:lang w:val="fr-FR"/>
        </w:rPr>
      </w:pPr>
      <w:r>
        <w:rPr>
          <w:lang w:val="fr-FR"/>
        </w:rPr>
        <w:t>Les d</w:t>
      </w:r>
      <w:r w:rsidR="0032215B" w:rsidRPr="00F21B61">
        <w:rPr>
          <w:lang w:val="fr-FR"/>
        </w:rPr>
        <w:t>iplômés du Département d'économétrie, les économètres peuvent travailler dans tous les domaines où les diplômés en économie peuvent travailler, et ils peuvent occuper des emplois identiques ou similaires. De plus, la formation qu'ils reçoivent étant majoritairement basée sur l'information numérique, ils peuvent travailler comme chercheurs appliqués dans les unités de recherche d'institutions du secteur public ou privé dans les domaines de la micro et macro économie, de l'économie internationale et des opérations.</w:t>
      </w:r>
    </w:p>
    <w:p w:rsidR="0032215B" w:rsidRPr="00F21B61" w:rsidRDefault="00E205AA" w:rsidP="00A5515E">
      <w:pPr>
        <w:jc w:val="left"/>
        <w:rPr>
          <w:b/>
          <w:lang w:val="fr-FR"/>
        </w:rPr>
      </w:pPr>
      <w:r>
        <w:rPr>
          <w:b/>
          <w:lang w:val="fr-FR"/>
        </w:rPr>
        <w:t xml:space="preserve">Le </w:t>
      </w:r>
      <w:r w:rsidRPr="00F21B61">
        <w:rPr>
          <w:b/>
          <w:lang w:val="fr-FR"/>
        </w:rPr>
        <w:t xml:space="preserve">Département </w:t>
      </w:r>
      <w:r w:rsidR="0032215B" w:rsidRPr="00F21B61">
        <w:rPr>
          <w:b/>
          <w:lang w:val="fr-FR"/>
        </w:rPr>
        <w:t>D'ÉCONOMIE DU TRAVAIL ET DES</w:t>
      </w:r>
      <w:r w:rsidR="00A5515E">
        <w:rPr>
          <w:b/>
          <w:lang w:val="fr-FR"/>
        </w:rPr>
        <w:t xml:space="preserve"> RELATIONS </w:t>
      </w:r>
      <w:r w:rsidR="0032215B" w:rsidRPr="00F21B61">
        <w:rPr>
          <w:b/>
          <w:lang w:val="fr-FR"/>
        </w:rPr>
        <w:t xml:space="preserve">INDUSTRIELLES </w:t>
      </w:r>
    </w:p>
    <w:p w:rsidR="0032215B" w:rsidRPr="00F21B61" w:rsidRDefault="0032215B" w:rsidP="00A026EF">
      <w:pPr>
        <w:rPr>
          <w:lang w:val="fr-FR"/>
        </w:rPr>
      </w:pPr>
      <w:r w:rsidRPr="00F21B61">
        <w:rPr>
          <w:lang w:val="fr-FR"/>
        </w:rPr>
        <w:t>Économie du travail et des relations industrielles, qui traite des relations dans la vie professionnelle avec leurs dimensions économiques, sociales, psychologiques et juridiques, pour assurer la paix sociale et la justice sociale, pour assurer le bien-être du salarié ; C'est une science qui travaille sur des mesures pour augmenter la productivité et la compétitivité des lieux de travail. Le département vise à former des «spécialistes de l'économie du travail et des relations industrielles» qui comprennent les changements et les transformations liés à la vie professionnelle, sont adaptés aux qualifications exigées par le marché du travail et ont la capacité d'utiliser leurs connaissances professionnelles dans des conditions changeantes.</w:t>
      </w:r>
    </w:p>
    <w:p w:rsidR="0032215B" w:rsidRPr="00F21B61" w:rsidRDefault="0032215B" w:rsidP="00A026EF">
      <w:pPr>
        <w:rPr>
          <w:b/>
          <w:lang w:val="fr-FR"/>
        </w:rPr>
      </w:pPr>
      <w:r w:rsidRPr="00F21B61">
        <w:rPr>
          <w:b/>
          <w:lang w:val="fr-FR"/>
        </w:rPr>
        <w:t>Domaines de carrière</w:t>
      </w:r>
    </w:p>
    <w:p w:rsidR="0032215B" w:rsidRPr="00F21B61" w:rsidRDefault="0032215B" w:rsidP="00A026EF">
      <w:pPr>
        <w:rPr>
          <w:lang w:val="fr-FR"/>
        </w:rPr>
      </w:pPr>
      <w:r w:rsidRPr="00F21B61">
        <w:rPr>
          <w:lang w:val="fr-FR"/>
        </w:rPr>
        <w:t xml:space="preserve">Les diplômés du Département d'économie du travail et des relations industrielles, dans les départements des ressources humaines ou de gestion du personnel des entreprises, dans les organisations d'employeurs et d'employés en tant que cadres, en tant que spécialiste de la formation et de la négociation collective, auprès du ministère du travail et de la sécurité sociale, du ministère de Politiques familiales et sociales et affiliés, institution de sécurité sociale, en tant que personnel d'audit (inspecteur), spécialiste du travail et de la sécurité sociale, en tant que spécialiste de l'emploi et de la formation professionnelle dans des institutions telles que l'Agence turque pour l'emploi, en tant qu'expert dans le personnel de l'attaché du travail du ministère de Affaires étrangères, en tant que spécialiste de la sécurité </w:t>
      </w:r>
      <w:r w:rsidRPr="00F21B61">
        <w:rPr>
          <w:lang w:val="fr-FR"/>
        </w:rPr>
        <w:lastRenderedPageBreak/>
        <w:t>professionnelle et sociale dans des institutions de conseil et de formation indépendantes, ce qui leur permet de trouver des opportunités d'emploi dans tous les domaines où travaillent des diplômés d'autres départements des facultés des sciences économiques et administratives.</w:t>
      </w:r>
    </w:p>
    <w:p w:rsidR="00F21B61" w:rsidRPr="00F21B61" w:rsidRDefault="00E205AA" w:rsidP="00F21B61">
      <w:pPr>
        <w:tabs>
          <w:tab w:val="left" w:pos="6940"/>
        </w:tabs>
        <w:rPr>
          <w:b/>
          <w:lang w:val="fr-FR"/>
        </w:rPr>
      </w:pPr>
      <w:r>
        <w:rPr>
          <w:b/>
          <w:lang w:val="fr-FR"/>
        </w:rPr>
        <w:t xml:space="preserve">Le </w:t>
      </w:r>
      <w:r w:rsidRPr="00E205AA">
        <w:rPr>
          <w:b/>
          <w:lang w:val="fr-FR"/>
        </w:rPr>
        <w:t>Département</w:t>
      </w:r>
      <w:r w:rsidRPr="00F21B61">
        <w:rPr>
          <w:lang w:val="fr-FR"/>
        </w:rPr>
        <w:t xml:space="preserve"> </w:t>
      </w:r>
      <w:r w:rsidR="00F21B61" w:rsidRPr="00F21B61">
        <w:rPr>
          <w:b/>
          <w:lang w:val="fr-FR"/>
        </w:rPr>
        <w:t>DES SYSTEMES D'INFORMATION DE GESTION</w:t>
      </w:r>
      <w:r w:rsidR="00F21B61" w:rsidRPr="00F21B61">
        <w:rPr>
          <w:b/>
          <w:lang w:val="fr-FR"/>
        </w:rPr>
        <w:tab/>
      </w:r>
    </w:p>
    <w:p w:rsidR="00F21B61" w:rsidRPr="00F21B61" w:rsidRDefault="00F21B61" w:rsidP="00F21B61">
      <w:pPr>
        <w:tabs>
          <w:tab w:val="left" w:pos="6940"/>
        </w:tabs>
        <w:rPr>
          <w:lang w:val="fr-FR"/>
        </w:rPr>
      </w:pPr>
      <w:r w:rsidRPr="00F21B61">
        <w:rPr>
          <w:lang w:val="fr-FR"/>
        </w:rPr>
        <w:t>Au sein du Département des sys</w:t>
      </w:r>
      <w:bookmarkStart w:id="0" w:name="_GoBack"/>
      <w:bookmarkEnd w:id="0"/>
      <w:r w:rsidRPr="00F21B61">
        <w:rPr>
          <w:lang w:val="fr-FR"/>
        </w:rPr>
        <w:t>tèmes d'information de gestion, l'objectif est de former des diplômés bien formés, axés sur les affaires et la gestion, capables d'apporter une contribution significative à l'application des systèmes d'entreprise, de planification, de conception et d'information, et de jouer un rôle important dans le production, renouvellement et diffusion continus d'informations dans la discipline des systèmes d'information de gestion.</w:t>
      </w:r>
    </w:p>
    <w:p w:rsidR="00F21B61" w:rsidRPr="00F21B61" w:rsidRDefault="00F21B61" w:rsidP="00F21B61">
      <w:pPr>
        <w:tabs>
          <w:tab w:val="left" w:pos="6940"/>
        </w:tabs>
        <w:rPr>
          <w:b/>
          <w:lang w:val="fr-FR"/>
        </w:rPr>
      </w:pPr>
      <w:r w:rsidRPr="00F21B61">
        <w:rPr>
          <w:b/>
          <w:lang w:val="fr-FR"/>
        </w:rPr>
        <w:t>Domaines de carrière</w:t>
      </w:r>
    </w:p>
    <w:p w:rsidR="00F21B61" w:rsidRPr="00F21B61" w:rsidRDefault="00F21B61" w:rsidP="00F21B61">
      <w:pPr>
        <w:tabs>
          <w:tab w:val="left" w:pos="6940"/>
        </w:tabs>
        <w:rPr>
          <w:b/>
          <w:lang w:val="fr-FR"/>
        </w:rPr>
      </w:pPr>
      <w:r w:rsidRPr="00F21B61">
        <w:rPr>
          <w:lang w:val="fr-FR"/>
        </w:rPr>
        <w:t>Les diplômés du Département des systèmes d'information de gestion peuvent travailler dans les centres de traitement de l'information de diverses entreprises et institutions officielles, des unités de développement de systèmes, des départements de développement de projets, des sociétés de logiciels et des bureaux de conseil.</w:t>
      </w:r>
    </w:p>
    <w:sectPr w:rsidR="00F21B61" w:rsidRPr="00F21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76"/>
    <w:rsid w:val="00005FA3"/>
    <w:rsid w:val="0032215B"/>
    <w:rsid w:val="004E3872"/>
    <w:rsid w:val="00777176"/>
    <w:rsid w:val="008F2A60"/>
    <w:rsid w:val="00A026EF"/>
    <w:rsid w:val="00A5515E"/>
    <w:rsid w:val="00C75F2E"/>
    <w:rsid w:val="00CD1094"/>
    <w:rsid w:val="00E205AA"/>
    <w:rsid w:val="00F21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 w:type="character" w:styleId="Vurgu">
    <w:name w:val="Emphasis"/>
    <w:basedOn w:val="VarsaylanParagrafYazTipi"/>
    <w:uiPriority w:val="20"/>
    <w:qFormat/>
    <w:rsid w:val="00A026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 w:type="character" w:styleId="Vurgu">
    <w:name w:val="Emphasis"/>
    <w:basedOn w:val="VarsaylanParagrafYazTipi"/>
    <w:uiPriority w:val="20"/>
    <w:qFormat/>
    <w:rsid w:val="00A026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1530</Words>
  <Characters>8725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2023-02-15T13:18:00Z</dcterms:created>
  <dcterms:modified xsi:type="dcterms:W3CDTF">2023-02-17T17:38:00Z</dcterms:modified>
</cp:coreProperties>
</file>